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MINUTA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ESTUDO TÉCNICO PRELIMINAR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"/>
        <w:gridCol w:w="5101"/>
        <w:gridCol w:w="1729"/>
        <w:gridCol w:w="1901"/>
        <w:tblGridChange w:id="0">
          <w:tblGrid>
            <w:gridCol w:w="624"/>
            <w:gridCol w:w="5101"/>
            <w:gridCol w:w="1729"/>
            <w:gridCol w:w="190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EQUIPE DE PLANEJAMENTO</w:t>
            </w:r>
          </w:p>
          <w:p w:rsidR="00000000" w:rsidDel="00000000" w:rsidP="00000000" w:rsidRDefault="00000000" w:rsidRPr="00000000" w14:paraId="00000006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before="10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before="10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(assinado digitalmente)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before="10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(assinado digitalmente)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before="10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(assinado digitalmente)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Designada por ato da Coordenadoria de Licitações e Contratos, conforme doc. XXXX, do Proad n. XXXX e nos termos da Portaria GP n. 716/2019.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Porto Velho/RO, XXX de XXXX de 20XX. </w:t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O Estudo Preliminar deverá evidenciar o problema a ser resolvido e a melhor solução, de modo a permitir a avaliação da viabilidade técnica, socioeconômica e ambiental da contratação.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Com base na nova lei n. 14.133/2021 e no âmbito deste Tribunal, o ETP deverá conter os seguintes elementos: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Descrição da necessidade da contratação, considerado o problema a ser resolvido sob a perspectiva do interesse público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É a justificativa (a exposição de motivos) que comprove a necessidade da contratação de forma inequívoca; necessidade que surge em decorrência de uma demanda que precisa ser atendida. Aqui está a base para definição dos demais temas do Estudo Técnico Preliminar.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Identificar e apresentar o problema e definir a real necessidade que ele gera, além de especificar o que se deseja alcançar com a contratação.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Identificar, também, se a necessidade de fornecimento ou de serviço é de natureza contínua/continuada, assim compreendidos os serviços contratados e compras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realizadas pela Administração Pública para a manutenção da atividade administrativa (atividade finalística), decorrentes de necessidades permanentes ou prolongadas (art. 6o, XV, da NLLC);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A precisa identificação da necessidade envolve o levantamento de dados que permitam: Identificar a necessidade da Administração em termos quantitativos e qualitativos (O que? Como? Quanto?) (item IV deste ETP); Demonstrar a impossibilidade ou inconveniência da execução direta; Levantar as soluções existentes no mercado (item V do ETP); Demonstrar se os serviços são de natureza continuada (caso os serviços devam ser executados mediante cessão de mão, demonstrar a viabilidade jurídica da terceirização); Justificar a necessidade em demanda aferível objetivamente (justificativa consistente e baseada em dados empíricos, quando possível) (CSJT 2021 - Curso Nova Lei de Licitações - Prof. Erivan)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Fundamento legal: "I - descrição da necessidade da contratação, considerado o problema a ser resolvido sob a perspectiva do interesse público" (art. 18, §1o, da NLLC).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color w:val="43434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Descrição dos requisitos da contratação necessários e suficientes à escolha da solução, prevendo critérios e práticas de sustentabilidade, observadas as leis ou regulamentações específicas, bem como padrões mínimos de qualidade e desempenho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Levantamento de mercado, que consiste na análise das alternativas possíveis, e justificativa técnica e econômica da escolha do tipo de solução a contratar, podendo, entre outras opções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a) ser consideradas contratações similares feitas por outros órgãos e entidades públicas, bem como por organizações privadas, no contexto nacional ou internacional, com objetivo de identificar a existência de novas metodologias, tecnologias ou inovações que melhor atendam às necessidades da Administração;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b) ser realizada audiência e/ou consulta pública, preferencialmente na forma eletrônica, para coleta de contribuições;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c) em caso de possibilidade de compra, locação de bens ou do acesso a bens, ser avaliados os custos e os benefícios de cada opção para escolha da alternativa mais vantajosa, prospectando-se arranjos inovadores em sede de economia circular; e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d) ser consideradas outras opções logísticas menos onerosas à Administração, tais como chamamentos públicos de doação e permutas.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É a busca pelas possíveis soluções disponíveis no mercado para definição daquela que melhor atenderá à necessidade do Tribunal;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Identificar no mercado (empresas, outros órgãos públicos, etc.) a solução (bens e/ou serviços) mais eficiente para resolver o problema detectado.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Consiste na prospecção e análise das alternativas possíveis de soluções, podendo, entre outras opções: ser consideradas contratações similares feitas por outros órgãos e entidades, com objetivo de identificar a existência de novas metodologias, tecnologias ou inovações que melhor atendam às necessidades da administração; e ser realizada consulta, audiência pública ou diálogo transparente com potenciais contratadas, para coleta de contribuições (vide: art. 7o, III, da IN 40/2020).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Fundamento legal: "V - levantamento de mercado, que consiste na análise das alternativas possíveis, e justificativa técnica e econômica da escolha do tipo de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solução a contratar" (art. 18, §1o, NLLC).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Descrição da solução como um todo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inclusive das exigências relacionadas à manutenção e à assistência técnica, quando for o caso;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Estimativa das quantidades a serem contratadas, acompanhada das memórias de cálculo e dos documentos que lhe dão suporte, considerando a interdependência com outras contratações, de modo a possibilitar economia de escala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Deve-se justificar os quantitativos, com exposição de dados estatísticos (consumos registrados em exercícios anteriores, número de usuários, dimensões, etc.).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Retratar as quantidades exigidas na contratação, acompanhadas das memórias de cálculo e dos documentos que lhes dão suporte, que considerem interdependências com outras contratações, de modo a possibilitar economia de escala;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Dimensionar a demanda é justificar, com números, com dados confiáveis, corretos e reais, em que, de fato, consiste a necessidade da Administração, para que se possa determinar, o mais próximo possível do ideal, a quantidade de serviço a ser contratado para atender a essa necessidade.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Seja qual for a natureza do serviço (contínuo ou não; execução mediante cessão de mão de obra ou não), a contratação há de ser justificada em demanda aferível objetivamente.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Ao estimar a quantidade de serviços aptos a atender à demanda, deve-se indicar e justificar a métrica adotada para medir e pagar pela execução dos serviços: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por resultados alcançados (regra), ou por posto de trabalho (exceção).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Fundamento legal: "IV - estimativas das quantidades para a contratação, acompanhadas das memórias de cálculo e dos documentos que lhes dão suporte, que considerem interdependências com outras contratações, de modo a possibilitar economia de escala" (art. 18, §1o, NLLC).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Justificativas para o parcelamento ou não da solução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Contratações correlatas e/ou interdependentes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Demonstrativo da previsão da contratação no Plano de Contratações Anual, de modo a indicar o seu alinhamento com o instrumentos de planejamento do órgão ou entidade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;</w:t>
            </w:r>
          </w:p>
        </w:tc>
      </w:tr>
    </w:tbl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emonstrativo dos resultados pretendidos, em termos de economicidade e de melhor aproveitamento dos recursos humanos, materiais e financeiros disponíveis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Providências a serem adotadas pela Administração previamente à celebração do contrato, tais como adaptações no ambiente do órgão ou da entidade, necessidade de obtenção de licenças, outorgas ou autorizações, capacitação de servidores ou de empregados para fiscalização e gestão contratual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vertAlign w:val="superscript"/>
              </w:rPr>
              <w:footnoteReference w:customMarkFollows="0" w:id="10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;</w:t>
            </w:r>
          </w:p>
        </w:tc>
      </w:tr>
    </w:tbl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Descrição de possíveis impactos ambientais e respectivas medidas mitigadoras, incluídos requisitos de baixo consumo de energia e de outros recursos, bem como logística reversa para desfazimento e reciclagem de bens e refugos, quando aplicável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vertAlign w:val="superscript"/>
              </w:rPr>
              <w:footnoteReference w:customMarkFollows="0" w:id="11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; e</w:t>
            </w:r>
          </w:p>
        </w:tc>
      </w:tr>
    </w:tbl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Posicionamento conclusivo sobre a adequação da contratação para o atendimento da necessidade a que se destina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vertAlign w:val="superscript"/>
              </w:rPr>
              <w:footnoteReference w:customMarkFollows="0" w:id="12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vertAlign w:val="superscript"/>
              </w:rPr>
              <w:footnoteReference w:customMarkFollows="0" w:id="13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Quando não contemplar todos os elementos, apresentar as devidas justificativas.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Justificativas:</w:t>
      </w:r>
    </w:p>
    <w:p w:rsidR="00000000" w:rsidDel="00000000" w:rsidP="00000000" w:rsidRDefault="00000000" w:rsidRPr="00000000" w14:paraId="00000099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Durante a elaboração do ETP deverão ser avaliadas: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I - a possibilidade de utilização de mão de obra, materiais, tecnologias e matérias-primas existentes no local da execução, conservação e operação do bem, serviço ou obra, desde que não haja prejuízos à competitividade do processo licitatório e à eficiência do respectivo contrato, nos termos do § 2º do art. 25 da Lei nº 14.133, de 2021;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II - a necessidade de ser exigido, em edital ou em aviso de contratação direta, que os serviços de manutenção e assistência técnica sejam prestados mediante deslocamento de técnico ou disponibilizados em unidade de prestação de serviços localizada em distância compatível com suas necessidades, conforme dispõe o § 4º do art. 40 da Lei nº 14.133, de 2021; e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III - as contratações anteriores voltadas ao atendimento de necessidade idêntica ou semelhante à atual, como forma de melhorar a performance contratual, em especial nas contratações de execução continuada ou de fornecimento contínuo de bens e serviços, com base, inclusive, no relatório final de que trata a alínea “d” do inciso VI do § 3º do art. 174 da Lei nº 14.133, de 2021; 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IV.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as recomendações sobre aquisições sustentáveis, contidas no Guia de Contratações Sustentáveis da Justiça do Trabalho, as recomendações da Resolução CNJ n. 400/2021, que trata da Política de Sustentabilidade da Justiça do Trabalho, e, quando couber, os termos da Resolução CNJ n. 401/2021, que dispõe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o desenvolvimento de diretrizes de acessibilidade e inclusão de pessoas com deficiência nos órgãos do Poder Judiciário;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V. na elaboração do ETP, a EP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cccccc" w:val="clear"/>
                <w:rtl w:val="0"/>
              </w:rPr>
              <w:t xml:space="preserve">poderá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cccccc" w:val="clear"/>
                <w:rtl w:val="0"/>
              </w:rPr>
              <w:t xml:space="preserve"> pesquisar, no Sistema ETP Digital, os ETP de outras unidades, como forma de identificar soluções semelhantes que possam se adequar à demanda da Administração.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Justificativas:</w:t>
      </w:r>
    </w:p>
    <w:p w:rsidR="00000000" w:rsidDel="00000000" w:rsidP="00000000" w:rsidRDefault="00000000" w:rsidRPr="00000000" w14:paraId="000000AC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"/>
        <w:tblGridChange w:id="0">
          <w:tblGrid>
            <w:gridCol w:w="9312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Quando da elaboração do ETP para a contratação de obras e serviços comuns de engenharia, se demonstrada a inexistência de prejuízo para a aferição dos padrões de desempenho e qualidade almejados, a especificação do objeto poderá ser realizada apenas em termo de referência ou em projeto básico, dispensada a elaboração de projetos, conforme disposto no § 3º do art. 18 da Lei nº 14.133, de 1º de abril de 2021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2"/>
                <w:szCs w:val="2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Justificativas:</w:t>
      </w:r>
    </w:p>
    <w:p w:rsidR="00000000" w:rsidDel="00000000" w:rsidP="00000000" w:rsidRDefault="00000000" w:rsidRPr="00000000" w14:paraId="000000B5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42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Matriz de gerenciamento de riscos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Justificativa: </w:t>
      </w:r>
    </w:p>
    <w:p w:rsidR="00000000" w:rsidDel="00000000" w:rsidP="00000000" w:rsidRDefault="00000000" w:rsidRPr="00000000" w14:paraId="000000BD">
      <w:pPr>
        <w:numPr>
          <w:ilvl w:val="1"/>
          <w:numId w:val="2"/>
        </w:numPr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documento que materializa a análise dos riscos, que possa comprometer o sucesso da licitação e a boa execução contratual, foi juntado como anexo ao documento. </w:t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42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equipe deve-se avaliar a necessidade de classificá-lo nos termos da Lei nº 12.527, de 18 de novembro de 2011.</w:t>
            </w:r>
          </w:p>
        </w:tc>
      </w:tr>
    </w:tbl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Justificativas:</w:t>
      </w:r>
    </w:p>
    <w:p w:rsidR="00000000" w:rsidDel="00000000" w:rsidP="00000000" w:rsidRDefault="00000000" w:rsidRPr="00000000" w14:paraId="000000C3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jc w:val="both"/>
        <w:rPr>
          <w:rFonts w:ascii="Arial" w:cs="Arial" w:eastAsia="Arial" w:hAnsi="Arial"/>
          <w:i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Observação: Os ETP para as contratações de soluções de tecnologia da informação e comunicação deverão observar as regras específicas.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417" w:right="1177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widowControl w:val="1"/>
      <w:tabs>
        <w:tab w:val="center" w:pos="4252"/>
        <w:tab w:val="right" w:pos="8504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Comissão Especial de Implementação da nova Lei n. 14-133/2021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26026</wp:posOffset>
          </wp:positionV>
          <wp:extent cx="337820" cy="3244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820" cy="3244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7">
    <w:pPr>
      <w:widowControl w:val="1"/>
      <w:tabs>
        <w:tab w:val="center" w:pos="4252"/>
        <w:tab w:val="right" w:pos="8504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TRT 14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3"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O Estudo Preliminar deverá conter ao menos os elementos previstos nos itens: 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1 - descrição da necessidade da contratação fundamentada em estudo técnico preliminar que caracterize o interesse público envolvido;</w:t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5 - estimativa das quantidades a serem contratadas, acompanhada das memórias de cálculo e dos documentos que lhe dão suporte, considerando a interdependência com outras contratações, de modo a possibilitar economia de escala;</w:t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6 -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</w:t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7 - justificativas para o parcelamento ou não da solução; </w:t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13 -  posicionamento conclusivo sobre a adequação da contratação para o atendimento da necessidade a que se destina.</w:t>
      </w:r>
    </w:p>
    <w:p w:rsidR="00000000" w:rsidDel="00000000" w:rsidP="00000000" w:rsidRDefault="00000000" w:rsidRPr="00000000" w14:paraId="000000D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E0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Deve a Equipe de Planejamento, sob a perspectiva do interesse público, justificar detalhadamente a necessidade a ser resolvida, ex.: aquisição de soluções em limpeza, vigilância, etc. ou buscar implementar uma inovação/solução a fim de atender o jurisdicionado. Ademais, deve a equipe se abster de trazer o problema e, consequentemente, a solução, pois este é objeto de análise específica. </w:t>
      </w:r>
    </w:p>
  </w:footnote>
  <w:footnote w:id="1"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Os elementos básicos devem ser descritos ex.: requisitos técnicos do objeto, tipo de licença, capacidade técnica do profissional, leis e regulamentação específica, sem prejuízo da sugestão Divisão de Sustentabilidade, Acessibilidade, Programas Sociais, de Iniciativas Nacionais e Gestão de Projetos.  Os requisitos devem ser indispensáveis ao atendimento da necessidade que originou a contratação, devendo ser elencados os requisitos necessários (não mais que o necessário, para não restringir a competição indevidamente) e suficientes (não menos que o necessário, de forma que o objeto não fique precisamente definido). </w:t>
      </w:r>
    </w:p>
    <w:p w:rsidR="00000000" w:rsidDel="00000000" w:rsidP="00000000" w:rsidRDefault="00000000" w:rsidRPr="00000000" w14:paraId="000000E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E3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Neste item, talvez seja um dos requisitos mais importantes, pois deve-se buscar diversas soluções disponíveis no mercado e justificar tecnicamente a melhor solução. Ex.: solução A, B e C. Deve a EP indicar qual a melhor solução e justificar tecnicamente tal escopo/solução.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3"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Descrever a solução indicada como um todo ou de forma ampla, inclusive serviço acessório de manutenção ou assistência técnica. Aqui pode ser o caso de emergir uma nova demanda. Ex.: aquisição de frota própria, consequentemente, deve-se contratar seguros, combustível, manutenção do veículo.</w:t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</w:footnote>
  <w:footnote w:id="4">
    <w:p w:rsidR="00000000" w:rsidDel="00000000" w:rsidP="00000000" w:rsidRDefault="00000000" w:rsidRPr="00000000" w14:paraId="000000E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EP deve consultar o SCMP ou, na impossibilidade,  instar as demais unidades para se manifestarem sobre sua pretensão, pois o ideal é que ocorra apenas uma licitação ou dispensa para o mesmo objeto. </w:t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E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Vide tópico específico do rito de pesquisa de preços. </w:t>
      </w:r>
    </w:p>
    <w:p w:rsidR="00000000" w:rsidDel="00000000" w:rsidP="00000000" w:rsidRDefault="00000000" w:rsidRPr="00000000" w14:paraId="000000E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EA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A equipe de planejamento da contratação deve avaliar se a solução é divisível ou não, levando em conta o mercado que a fornece e atentando que a solução deve ser parcelada quando a resposta a todas as 4 perguntas a seguir forem positivas: </w:t>
      </w:r>
    </w:p>
    <w:p w:rsidR="00000000" w:rsidDel="00000000" w:rsidP="00000000" w:rsidRDefault="00000000" w:rsidRPr="00000000" w14:paraId="000000EB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1) É tecnicamente viável dividir a solução?</w:t>
      </w:r>
    </w:p>
    <w:p w:rsidR="00000000" w:rsidDel="00000000" w:rsidP="00000000" w:rsidRDefault="00000000" w:rsidRPr="00000000" w14:paraId="000000EC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2) É economicamente viável dividir a solução?</w:t>
      </w:r>
    </w:p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3) Não há perda de escala ao dividir a solução?</w:t>
      </w:r>
    </w:p>
    <w:p w:rsidR="00000000" w:rsidDel="00000000" w:rsidP="00000000" w:rsidRDefault="00000000" w:rsidRPr="00000000" w14:paraId="000000EE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4) Há o melhor aproveitamento do mercado e ampliação da competitividade ao dividir a solução.</w:t>
      </w:r>
    </w:p>
  </w:footnote>
  <w:footnote w:id="8"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É a indicação exata do alinhamento da contratação com elementos dos plano anual de contratações) e com os planos do órgão governante superior ao qual o órgão está vinculado (e.g. CNJ, CSJT, TRT14 - Plano Estratégico 21/26), quando for o caso. </w:t>
      </w:r>
    </w:p>
    <w:p w:rsidR="00000000" w:rsidDel="00000000" w:rsidP="00000000" w:rsidRDefault="00000000" w:rsidRPr="00000000" w14:paraId="000000F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Os resultados pretendidos são os benefícios diretos que o órgão almeja com a contratação da solução, em termos de economicidade, eficácia, eficiência, de melhor aproveitamento dos recursos humanos, materiais e financeiros disponíveis, inclusive com respeito a impactos ambientais positivos (e.g. diminuição do consumo de papel ou de energia elétrica), bem como, se for caso, de melhoria da qualidade de produtos ou serviços, de forma a atender à necessidade da contratação. </w:t>
      </w:r>
    </w:p>
    <w:p w:rsidR="00000000" w:rsidDel="00000000" w:rsidP="00000000" w:rsidRDefault="00000000" w:rsidRPr="00000000" w14:paraId="000000F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São os ajustes que precisam ser feitos no ambiente do órgão para que a contratação atenda à necessidade de negócio, em função do impacto esperado dos trabalhos da contratada durante a construção, implantação e operação da solução junto ao órgão, bem como da solução após a sua implantação. </w:t>
      </w:r>
    </w:p>
    <w:p w:rsidR="00000000" w:rsidDel="00000000" w:rsidP="00000000" w:rsidRDefault="00000000" w:rsidRPr="00000000" w14:paraId="000000F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0F5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Com base nas informações levantadas ao longo dos estudos técnicos preliminares, a equipe de planejamento declara se a contratação é viável ou não, cujo parecer deverá ser referendado pela Coordenadoria de Licitações e Contratos, unidade legitimada. </w:t>
      </w:r>
    </w:p>
    <w:p w:rsidR="00000000" w:rsidDel="00000000" w:rsidP="00000000" w:rsidRDefault="00000000" w:rsidRPr="00000000" w14:paraId="000000F6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0F7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Verificar contratos que possam suprir a demanda, seja total ou parcial.</w:t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</w:t>
      </w:r>
    </w:p>
  </w:footnote>
  <w:footnote w:id="11">
    <w:p w:rsidR="00000000" w:rsidDel="00000000" w:rsidP="00000000" w:rsidRDefault="00000000" w:rsidRPr="00000000" w14:paraId="000000F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Observar as recomendações emanadas pela Divisão de Sustentabilidade, Acessibilidade, Programas Sociais, de Iniciativas Nacionais e Gestão de Projetos. </w:t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720090" cy="72009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C9">
    <w:pPr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widowControl w:val="1"/>
      <w:numPr>
        <w:ilvl w:val="0"/>
        <w:numId w:val="1"/>
      </w:numPr>
      <w:tabs>
        <w:tab w:val="left" w:pos="0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PODER JUDICIÁRIO</w:t>
    </w:r>
  </w:p>
  <w:p w:rsidR="00000000" w:rsidDel="00000000" w:rsidP="00000000" w:rsidRDefault="00000000" w:rsidRPr="00000000" w14:paraId="000000CC">
    <w:pPr>
      <w:widowControl w:val="1"/>
      <w:numPr>
        <w:ilvl w:val="0"/>
        <w:numId w:val="1"/>
      </w:numPr>
      <w:tabs>
        <w:tab w:val="left" w:pos="0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JUSTIÇA DO TRABALHO</w:t>
    </w:r>
  </w:p>
  <w:p w:rsidR="00000000" w:rsidDel="00000000" w:rsidP="00000000" w:rsidRDefault="00000000" w:rsidRPr="00000000" w14:paraId="000000CD">
    <w:pPr>
      <w:widowControl w:val="1"/>
      <w:numPr>
        <w:ilvl w:val="0"/>
        <w:numId w:val="1"/>
      </w:numPr>
      <w:tabs>
        <w:tab w:val="left" w:pos="0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TRIBUNAL REGIONAL DO TRABALHO DA 14ª REGIÃO</w:t>
    </w:r>
  </w:p>
  <w:p w:rsidR="00000000" w:rsidDel="00000000" w:rsidP="00000000" w:rsidRDefault="00000000" w:rsidRPr="00000000" w14:paraId="000000CE">
    <w:pPr>
      <w:widowControl w:val="1"/>
      <w:numPr>
        <w:ilvl w:val="0"/>
        <w:numId w:val="1"/>
      </w:numPr>
      <w:tabs>
        <w:tab w:val="left" w:pos="0"/>
      </w:tabs>
      <w:jc w:val="center"/>
      <w:rPr>
        <w:rFonts w:ascii="Arial" w:cs="Arial" w:eastAsia="Arial" w:hAnsi="Arial"/>
        <w:color w:val="ff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ff0000"/>
        <w:sz w:val="20"/>
        <w:szCs w:val="20"/>
        <w:rtl w:val="0"/>
      </w:rPr>
      <w:t xml:space="preserve">Unidade Demandante </w:t>
    </w:r>
  </w:p>
  <w:p w:rsidR="00000000" w:rsidDel="00000000" w:rsidP="00000000" w:rsidRDefault="00000000" w:rsidRPr="00000000" w14:paraId="000000CF">
    <w:pPr>
      <w:widowControl w:val="1"/>
      <w:numPr>
        <w:ilvl w:val="0"/>
        <w:numId w:val="1"/>
      </w:numPr>
      <w:tabs>
        <w:tab w:val="left" w:pos="0"/>
      </w:tabs>
      <w:jc w:val="center"/>
      <w:rPr>
        <w:rFonts w:ascii="Arial" w:cs="Arial" w:eastAsia="Arial" w:hAnsi="Arial"/>
        <w:color w:val="ff0000"/>
        <w:sz w:val="20"/>
        <w:szCs w:val="20"/>
        <w:u w:val="none"/>
      </w:rPr>
    </w:pPr>
    <w:r w:rsidDel="00000000" w:rsidR="00000000" w:rsidRPr="00000000">
      <w:rPr>
        <w:rFonts w:ascii="Arial" w:cs="Arial" w:eastAsia="Arial" w:hAnsi="Arial"/>
        <w:color w:val="ff0000"/>
        <w:sz w:val="20"/>
        <w:szCs w:val="20"/>
        <w:rtl w:val="0"/>
      </w:rPr>
      <w:t xml:space="preserve">Proad n. xxxxxx</w:t>
    </w:r>
  </w:p>
  <w:p w:rsidR="00000000" w:rsidDel="00000000" w:rsidP="00000000" w:rsidRDefault="00000000" w:rsidRPr="00000000" w14:paraId="000000D0">
    <w:pPr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D2">
    <w:pPr>
      <w:keepNext w:val="0"/>
      <w:keepLines w:val="0"/>
      <w:widowControl w:val="1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widowControl w:val="1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%2 –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