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238" w:before="238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2">
      <w:pPr>
        <w:pStyle w:val="Heading1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DOCUMENTO DE OFICIALIZAÇÃO DE DEMANDA (DOD)</w:t>
      </w:r>
    </w:p>
    <w:tbl>
      <w:tblPr>
        <w:tblStyle w:val="Table1"/>
        <w:tblW w:w="9067.0" w:type="dxa"/>
        <w:jc w:val="left"/>
        <w:tblInd w:w="-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57"/>
        <w:gridCol w:w="2810"/>
        <w:tblGridChange w:id="0">
          <w:tblGrid>
            <w:gridCol w:w="6257"/>
            <w:gridCol w:w="281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Órgão: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Unidade Requisitante (UR):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Responsável pela Demanda: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Matrícula: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Ind w:w="-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20"/>
        <w:gridCol w:w="4240"/>
        <w:tblGridChange w:id="0">
          <w:tblGrid>
            <w:gridCol w:w="4820"/>
            <w:gridCol w:w="424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P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revisão legal orçamentária: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J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ustificativa da necessidade da contratação explicitando a opção pela compra do bem ou serviços e considerando o Planejamento Estratégico Institucional e o Plano Anual de Aquisições (PAAQ), se for o caso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Q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uantidade da aquisição ou serviço a ser contratado: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P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revisão da data em que deve ser entregue o bem ou iniciada a prestação dos serviços: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I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ndicação do servidor ou servidores para compor a equipe de planejamento (elaboração do Estudo Preliminar (ETP) e o Gerenciamento de Risco e, se necessário) e a quem será confiada a fiscalização dos serviços, o qual poderá participar de todas as etapas do planejamento da contratação: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Resultados esperados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95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insideH w:color="000000" w:space="0" w:sz="4" w:val="single"/>
              </w:tblBorders>
              <w:tblLayout w:type="fixed"/>
              <w:tblLook w:val="0000"/>
            </w:tblPr>
            <w:tblGrid>
              <w:gridCol w:w="2727"/>
              <w:gridCol w:w="559"/>
              <w:gridCol w:w="519"/>
              <w:gridCol w:w="5145"/>
              <w:tblGridChange w:id="0">
                <w:tblGrid>
                  <w:gridCol w:w="2727"/>
                  <w:gridCol w:w="559"/>
                  <w:gridCol w:w="519"/>
                  <w:gridCol w:w="51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Tipo de Resultado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Sim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Não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d9d9d9" w:val="clear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Detalhamento</w:t>
                  </w:r>
                </w:p>
              </w:tc>
            </w:tr>
            <w:tr>
              <w:trPr>
                <w:cantSplit w:val="0"/>
                <w:trHeight w:val="428" w:hRule="atLeast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Ganho de produtividade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both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Agilidade na realização de trabalhos nas dependências do Tribunal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Redução de esforço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both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Maior performance pela utilização de equipamentos ou sistemas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Redução de custo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both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Redução de uso de recursos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both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Melhoria de controle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both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Redução de riscos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both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Determinação legal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both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Determinação administrativa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both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Outro (especificar)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center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88" w:lineRule="auto"/>
                    <w:ind w:left="0" w:right="0" w:firstLine="0"/>
                    <w:jc w:val="both"/>
                    <w:rPr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Integrante da Equipe de Planejamento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Fiscal do Contrato e Substituto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1417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Porto Velho/RO, DD de mês de AAAA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xxx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Responsável pela Oficialização da Demanda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1"/>
        </w:numPr>
        <w:tabs>
          <w:tab w:val="left" w:pos="0"/>
        </w:tabs>
        <w:spacing w:after="0" w:before="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i w:val="1"/>
          <w:color w:val="00000a"/>
          <w:sz w:val="22"/>
          <w:szCs w:val="22"/>
          <w:rtl w:val="0"/>
        </w:rPr>
        <w:t xml:space="preserve">(assinado digitalmente)</w:t>
      </w: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pgSz w:h="16838" w:w="11906" w:orient="portrait"/>
      <w:pgMar w:bottom="1134" w:top="720" w:left="1417" w:right="1417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numPr>
        <w:ilvl w:val="0"/>
        <w:numId w:val="1"/>
      </w:numPr>
      <w:tabs>
        <w:tab w:val="center" w:pos="4252"/>
        <w:tab w:val="right" w:pos="8504"/>
      </w:tabs>
      <w:spacing w:after="0" w:lineRule="auto"/>
      <w:ind w:firstLine="0"/>
      <w:jc w:val="center"/>
    </w:pPr>
    <w:r w:rsidDel="00000000" w:rsidR="00000000" w:rsidRPr="00000000">
      <w:rPr>
        <w:sz w:val="20"/>
        <w:szCs w:val="20"/>
        <w:rtl w:val="0"/>
      </w:rPr>
      <w:t xml:space="preserve">Comissão Especial de Implementação da nova Lei n. 14-133/2021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-190499</wp:posOffset>
          </wp:positionH>
          <wp:positionV relativeFrom="paragraph">
            <wp:posOffset>26026</wp:posOffset>
          </wp:positionV>
          <wp:extent cx="337820" cy="32448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7820" cy="3244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left" w:pos="0"/>
        <w:tab w:val="center" w:pos="4536"/>
        <w:tab w:val="right" w:pos="9072"/>
      </w:tabs>
      <w:spacing w:after="170" w:before="0" w:line="240" w:lineRule="auto"/>
      <w:ind w:left="0" w:right="0" w:firstLine="0"/>
      <w:jc w:val="center"/>
      <w:rPr>
        <w:u w:val="no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720090" cy="72009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090" cy="7200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PODER JUDICIÁRIO</w:t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JUSTIÇA DO TRABALHO</w:t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TRIBUNAL REGIONAL DO TRABALHO DA 14ª REGIÃO</w:t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ff0000"/>
        <w:sz w:val="20"/>
        <w:szCs w:val="20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  <w:rtl w:val="0"/>
      </w:rPr>
      <w:t xml:space="preserve">Unidade Demandante </w:t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%2 –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170" w:lineRule="auto"/>
        <w:ind w:firstLine="141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238" w:before="238" w:lineRule="auto"/>
      <w:ind w:left="0" w:right="0" w:firstLine="1417"/>
      <w:jc w:val="center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170" w:before="283" w:lineRule="auto"/>
      <w:ind w:left="0" w:right="0" w:firstLine="0"/>
      <w:jc w:val="left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119" w:before="283" w:lineRule="auto"/>
      <w:ind w:left="0" w:right="0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after="0" w:before="0" w:lineRule="auto"/>
      <w:ind w:left="0" w:right="0" w:firstLine="0"/>
      <w:jc w:val="center"/>
    </w:pPr>
    <w:rPr>
      <w:rFonts w:ascii="Arial" w:cs="Arial" w:eastAsia="Arial" w:hAnsi="Arial"/>
      <w:sz w:val="24"/>
      <w:szCs w:val="24"/>
    </w:rPr>
  </w:style>
  <w:style w:type="paragraph" w:styleId="Heading5">
    <w:name w:val="heading 5"/>
    <w:basedOn w:val="Normal"/>
    <w:next w:val="Normal"/>
    <w:pPr>
      <w:keepNext w:val="0"/>
      <w:widowControl w:val="0"/>
      <w:spacing w:after="0" w:before="170" w:lineRule="auto"/>
      <w:ind w:left="0" w:right="0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0"/>
      <w:widowControl w:val="0"/>
      <w:spacing w:after="170" w:before="0" w:lineRule="auto"/>
      <w:ind w:left="0" w:right="0" w:firstLine="0"/>
      <w:jc w:val="center"/>
    </w:pPr>
    <w:rPr>
      <w:rFonts w:ascii="Arial" w:cs="Arial" w:eastAsia="Arial" w:hAnsi="Arial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ind w:left="0" w:right="0" w:firstLine="1417"/>
      <w:jc w:val="center"/>
    </w:pPr>
    <w:rPr>
      <w:rFonts w:ascii="Liberation Sans" w:cs="Liberation Sans" w:eastAsia="Liberation Sans" w:hAnsi="Liberation Sans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4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